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8EAC" w14:textId="1308995D" w:rsidR="00122EC2" w:rsidRPr="00122EC2" w:rsidRDefault="00D6160F" w:rsidP="00122E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2EC2" w:rsidRPr="00122EC2">
        <w:rPr>
          <w:rFonts w:ascii="Times New Roman" w:hAnsi="Times New Roman" w:cs="Times New Roman"/>
        </w:rPr>
        <w:t>.pielikums</w:t>
      </w:r>
    </w:p>
    <w:p w14:paraId="21339522" w14:textId="77777777" w:rsidR="00393B96" w:rsidRDefault="00393B96" w:rsidP="00122E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B3A8286" w14:textId="5CC8DF83" w:rsidR="00122EC2" w:rsidRPr="00393B96" w:rsidRDefault="00122EC2" w:rsidP="00122E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93B96">
        <w:rPr>
          <w:rFonts w:ascii="Times New Roman" w:hAnsi="Times New Roman" w:cs="Times New Roman"/>
          <w:b/>
          <w:bCs/>
          <w:caps/>
          <w:sz w:val="24"/>
          <w:szCs w:val="24"/>
        </w:rPr>
        <w:t>Finanšu piedāvājums</w:t>
      </w:r>
    </w:p>
    <w:p w14:paraId="1EAE241A" w14:textId="5CDC4697" w:rsidR="00122EC2" w:rsidRPr="00122EC2" w:rsidRDefault="00122EC2" w:rsidP="00122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Iepirkuma identifikācijas Nr. T/RPR/202</w:t>
      </w:r>
      <w:r w:rsidR="001F24D0">
        <w:rPr>
          <w:rFonts w:ascii="Times New Roman" w:hAnsi="Times New Roman" w:cs="Times New Roman"/>
          <w:sz w:val="24"/>
          <w:szCs w:val="24"/>
        </w:rPr>
        <w:t>2</w:t>
      </w:r>
      <w:r w:rsidRPr="00122EC2">
        <w:rPr>
          <w:rFonts w:ascii="Times New Roman" w:hAnsi="Times New Roman" w:cs="Times New Roman"/>
          <w:sz w:val="24"/>
          <w:szCs w:val="24"/>
        </w:rPr>
        <w:t>/DI-</w:t>
      </w:r>
      <w:r w:rsidR="001F24D0">
        <w:rPr>
          <w:rFonts w:ascii="Times New Roman" w:hAnsi="Times New Roman" w:cs="Times New Roman"/>
          <w:sz w:val="24"/>
          <w:szCs w:val="24"/>
        </w:rPr>
        <w:t>6</w:t>
      </w:r>
    </w:p>
    <w:p w14:paraId="5CDB8F48" w14:textId="77777777" w:rsidR="00D6160F" w:rsidRDefault="00D6160F" w:rsidP="00122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BAF9F" w14:textId="4BF04D8A" w:rsidR="00122EC2" w:rsidRPr="00122EC2" w:rsidRDefault="00122EC2" w:rsidP="0012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Pretendents: _________________________________________________________</w:t>
      </w:r>
    </w:p>
    <w:p w14:paraId="6A7D26C0" w14:textId="77777777" w:rsidR="00122EC2" w:rsidRPr="00122EC2" w:rsidRDefault="00122EC2" w:rsidP="00122EC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22EC2">
        <w:rPr>
          <w:rFonts w:ascii="Times New Roman" w:hAnsi="Times New Roman" w:cs="Times New Roman"/>
          <w:i/>
          <w:iCs/>
          <w:sz w:val="20"/>
          <w:szCs w:val="20"/>
        </w:rPr>
        <w:t>Nosaukums (juridiskai personai) vai vārds, uzvārds (fiziskai personai)</w:t>
      </w:r>
    </w:p>
    <w:p w14:paraId="5E44723C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2EC2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122EC2">
        <w:rPr>
          <w:rFonts w:ascii="Times New Roman" w:hAnsi="Times New Roman" w:cs="Times New Roman"/>
          <w:sz w:val="24"/>
          <w:szCs w:val="24"/>
        </w:rPr>
        <w:t>. vai personas kods __________________________________________</w:t>
      </w:r>
    </w:p>
    <w:p w14:paraId="4A2DB8A7" w14:textId="38169C29" w:rsid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Juridiskā adrese __________________________________________________</w:t>
      </w:r>
    </w:p>
    <w:p w14:paraId="54CEB119" w14:textId="3CD332EB" w:rsidR="00393B96" w:rsidRPr="00393B96" w:rsidRDefault="00393B96" w:rsidP="00393B96">
      <w:pPr>
        <w:jc w:val="both"/>
        <w:rPr>
          <w:rFonts w:ascii="Times New Roman" w:hAnsi="Times New Roman" w:cs="Times New Roman"/>
          <w:sz w:val="24"/>
          <w:szCs w:val="24"/>
        </w:rPr>
      </w:pPr>
      <w:r w:rsidRPr="00393B96">
        <w:rPr>
          <w:rFonts w:ascii="Times New Roman" w:hAnsi="Times New Roman" w:cs="Times New Roman"/>
          <w:sz w:val="24"/>
          <w:szCs w:val="24"/>
        </w:rPr>
        <w:t xml:space="preserve">Mēs piedāvājam sniegt iepirkumā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3B96">
        <w:rPr>
          <w:rFonts w:ascii="Times New Roman" w:hAnsi="Times New Roman" w:cs="Times New Roman"/>
          <w:sz w:val="24"/>
          <w:szCs w:val="24"/>
        </w:rPr>
        <w:t xml:space="preserve">Apmācību nodrošināšana Rīgas plānošanas reģiona valsts sociālās aprūpes centru darbiniekiem </w:t>
      </w:r>
      <w:r w:rsidR="00EC09DF">
        <w:rPr>
          <w:rFonts w:ascii="Times New Roman" w:hAnsi="Times New Roman" w:cs="Times New Roman"/>
          <w:sz w:val="24"/>
          <w:szCs w:val="24"/>
        </w:rPr>
        <w:t xml:space="preserve">un pašvaldību piesaistītiem sociāliem mentoriem </w:t>
      </w:r>
      <w:r w:rsidRPr="00393B96">
        <w:rPr>
          <w:rFonts w:ascii="Times New Roman" w:hAnsi="Times New Roman" w:cs="Times New Roman"/>
          <w:sz w:val="24"/>
          <w:szCs w:val="24"/>
        </w:rPr>
        <w:t>pilngadīgu personu ar garīga rakstura traucējumiem sagatavošanai pārejai uz dzīvi sabiedrībā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3B96">
        <w:rPr>
          <w:rFonts w:ascii="Times New Roman" w:hAnsi="Times New Roman" w:cs="Times New Roman"/>
          <w:sz w:val="24"/>
          <w:szCs w:val="24"/>
        </w:rPr>
        <w:t>, iepirkuma id</w:t>
      </w:r>
      <w:r>
        <w:rPr>
          <w:rFonts w:ascii="Times New Roman" w:hAnsi="Times New Roman" w:cs="Times New Roman"/>
          <w:sz w:val="24"/>
          <w:szCs w:val="24"/>
        </w:rPr>
        <w:t xml:space="preserve">entifikācijas </w:t>
      </w:r>
      <w:r w:rsidRPr="00393B96">
        <w:rPr>
          <w:rFonts w:ascii="Times New Roman" w:hAnsi="Times New Roman" w:cs="Times New Roman"/>
          <w:sz w:val="24"/>
          <w:szCs w:val="24"/>
        </w:rPr>
        <w:t xml:space="preserve">Nr. </w:t>
      </w:r>
      <w:r w:rsidRPr="00122EC2">
        <w:rPr>
          <w:rFonts w:ascii="Times New Roman" w:hAnsi="Times New Roman" w:cs="Times New Roman"/>
        </w:rPr>
        <w:t>T/RPR/202</w:t>
      </w:r>
      <w:r w:rsidR="001F24D0">
        <w:rPr>
          <w:rFonts w:ascii="Times New Roman" w:hAnsi="Times New Roman" w:cs="Times New Roman"/>
        </w:rPr>
        <w:t>2</w:t>
      </w:r>
      <w:r w:rsidRPr="00122EC2">
        <w:rPr>
          <w:rFonts w:ascii="Times New Roman" w:hAnsi="Times New Roman" w:cs="Times New Roman"/>
        </w:rPr>
        <w:t>/DI-</w:t>
      </w:r>
      <w:r w:rsidR="001F24D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m</w:t>
      </w:r>
      <w:r w:rsidRPr="00393B96">
        <w:rPr>
          <w:rFonts w:ascii="Times New Roman" w:hAnsi="Times New Roman" w:cs="Times New Roman"/>
          <w:sz w:val="24"/>
          <w:szCs w:val="24"/>
        </w:rPr>
        <w:t xml:space="preserve">inētos pakalpojumus, saskaņā ar </w:t>
      </w:r>
      <w:r>
        <w:rPr>
          <w:rFonts w:ascii="Times New Roman" w:hAnsi="Times New Roman" w:cs="Times New Roman"/>
          <w:sz w:val="24"/>
          <w:szCs w:val="24"/>
        </w:rPr>
        <w:t>Nolikumu</w:t>
      </w:r>
      <w:r w:rsidRPr="00393B96">
        <w:rPr>
          <w:rFonts w:ascii="Times New Roman" w:hAnsi="Times New Roman" w:cs="Times New Roman"/>
          <w:sz w:val="24"/>
          <w:szCs w:val="24"/>
        </w:rPr>
        <w:t xml:space="preserve"> un tā pielikumiem.</w:t>
      </w:r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1124"/>
        <w:gridCol w:w="6379"/>
        <w:gridCol w:w="1681"/>
      </w:tblGrid>
      <w:tr w:rsidR="001F24D0" w:rsidRPr="00393B96" w14:paraId="4CCC194A" w14:textId="0839B5EC" w:rsidTr="001F24D0">
        <w:trPr>
          <w:trHeight w:val="533"/>
          <w:jc w:val="center"/>
        </w:trPr>
        <w:tc>
          <w:tcPr>
            <w:tcW w:w="1124" w:type="dxa"/>
          </w:tcPr>
          <w:p w14:paraId="5B5857AB" w14:textId="12F77FF4" w:rsidR="001F24D0" w:rsidRPr="00393B96" w:rsidRDefault="001F24D0" w:rsidP="00122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6379" w:type="dxa"/>
          </w:tcPr>
          <w:p w14:paraId="67281CAD" w14:textId="7FFFA811" w:rsidR="001F24D0" w:rsidRPr="00393B96" w:rsidRDefault="001F24D0" w:rsidP="00122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Apmācību tematiskā daļa</w:t>
            </w:r>
          </w:p>
        </w:tc>
        <w:tc>
          <w:tcPr>
            <w:tcW w:w="1681" w:type="dxa"/>
          </w:tcPr>
          <w:p w14:paraId="6857FF20" w14:textId="5510441E" w:rsidR="001F24D0" w:rsidRDefault="001F24D0" w:rsidP="00393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 (bez PVN)*</w:t>
            </w:r>
          </w:p>
          <w:p w14:paraId="2904E684" w14:textId="7BD5D318" w:rsidR="001F24D0" w:rsidRPr="00393B96" w:rsidRDefault="001F24D0" w:rsidP="00393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4D0" w14:paraId="00D5F851" w14:textId="3C0C303E" w:rsidTr="001F24D0">
        <w:trPr>
          <w:trHeight w:val="283"/>
          <w:jc w:val="center"/>
        </w:trPr>
        <w:tc>
          <w:tcPr>
            <w:tcW w:w="1124" w:type="dxa"/>
          </w:tcPr>
          <w:p w14:paraId="4CF30C8A" w14:textId="77777777" w:rsidR="001F24D0" w:rsidRPr="00D25F36" w:rsidRDefault="001F24D0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334F01D" w14:textId="28377155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Deinstitucionalizācijas procesa pamatprincipi</w:t>
            </w:r>
          </w:p>
        </w:tc>
        <w:tc>
          <w:tcPr>
            <w:tcW w:w="1681" w:type="dxa"/>
          </w:tcPr>
          <w:p w14:paraId="3AA38FA5" w14:textId="77777777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D0" w14:paraId="253C956D" w14:textId="2FCA6D9B" w:rsidTr="001F24D0">
        <w:trPr>
          <w:trHeight w:val="256"/>
          <w:jc w:val="center"/>
        </w:trPr>
        <w:tc>
          <w:tcPr>
            <w:tcW w:w="1124" w:type="dxa"/>
          </w:tcPr>
          <w:p w14:paraId="2BA3E5C3" w14:textId="77777777" w:rsidR="001F24D0" w:rsidRPr="00D25F36" w:rsidRDefault="001F24D0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9B2355E" w14:textId="72039EFF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Saskarsmes prasmju attīstība</w:t>
            </w:r>
          </w:p>
        </w:tc>
        <w:tc>
          <w:tcPr>
            <w:tcW w:w="1681" w:type="dxa"/>
          </w:tcPr>
          <w:p w14:paraId="03DBA3C9" w14:textId="77777777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D0" w14:paraId="2282189D" w14:textId="1C270CA5" w:rsidTr="001F24D0">
        <w:trPr>
          <w:trHeight w:val="256"/>
          <w:jc w:val="center"/>
        </w:trPr>
        <w:tc>
          <w:tcPr>
            <w:tcW w:w="1124" w:type="dxa"/>
          </w:tcPr>
          <w:p w14:paraId="203D2E6C" w14:textId="77777777" w:rsidR="001F24D0" w:rsidRPr="00D25F36" w:rsidRDefault="001F24D0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62AA512" w14:textId="0FF783AB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Starpprofesionālā</w:t>
            </w:r>
            <w:proofErr w:type="spellEnd"/>
            <w:r w:rsidRPr="00F636FC">
              <w:rPr>
                <w:rFonts w:ascii="Times New Roman" w:hAnsi="Times New Roman" w:cs="Times New Roman"/>
                <w:sz w:val="24"/>
                <w:szCs w:val="24"/>
              </w:rPr>
              <w:t xml:space="preserve"> sadarbība </w:t>
            </w:r>
          </w:p>
        </w:tc>
        <w:tc>
          <w:tcPr>
            <w:tcW w:w="1681" w:type="dxa"/>
          </w:tcPr>
          <w:p w14:paraId="211CD961" w14:textId="77777777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D0" w14:paraId="631AE591" w14:textId="6ACC23FF" w:rsidTr="001F24D0">
        <w:trPr>
          <w:trHeight w:val="256"/>
          <w:jc w:val="center"/>
        </w:trPr>
        <w:tc>
          <w:tcPr>
            <w:tcW w:w="1124" w:type="dxa"/>
          </w:tcPr>
          <w:p w14:paraId="73F7052A" w14:textId="77777777" w:rsidR="001F24D0" w:rsidRPr="00D25F36" w:rsidRDefault="001F24D0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68E1D0F" w14:textId="2582E14F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Seksualitāte un reproduktīvā veselība un tiesības</w:t>
            </w:r>
          </w:p>
        </w:tc>
        <w:tc>
          <w:tcPr>
            <w:tcW w:w="1681" w:type="dxa"/>
          </w:tcPr>
          <w:p w14:paraId="348DCB99" w14:textId="77777777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D0" w14:paraId="23379BC2" w14:textId="3EC87E08" w:rsidTr="001F24D0">
        <w:trPr>
          <w:trHeight w:val="976"/>
          <w:jc w:val="center"/>
        </w:trPr>
        <w:tc>
          <w:tcPr>
            <w:tcW w:w="1124" w:type="dxa"/>
            <w:tcBorders>
              <w:bottom w:val="single" w:sz="4" w:space="0" w:color="auto"/>
            </w:tcBorders>
          </w:tcPr>
          <w:p w14:paraId="19E5CFEF" w14:textId="77777777" w:rsidR="001F24D0" w:rsidRPr="00D25F36" w:rsidRDefault="001F24D0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066B8A7" w14:textId="3EEDBED0" w:rsidR="001F24D0" w:rsidRDefault="001F24D0" w:rsidP="00D25F36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Atbalsta sniegšana patstāvīgas dzīves prasmju apgūšanai (par metodēm, ar kurām par norādītajām jomām var atbalstīt/iemācīt personas ar GRT)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C97BD64" w14:textId="77777777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D0" w14:paraId="3C9A2C36" w14:textId="54497FEA" w:rsidTr="001F24D0">
        <w:trPr>
          <w:trHeight w:val="512"/>
          <w:jc w:val="center"/>
        </w:trPr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F1434" w14:textId="77777777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6E79C" w14:textId="7E697E8D" w:rsidR="001F24D0" w:rsidRPr="00393B96" w:rsidRDefault="001F24D0" w:rsidP="00393B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Kopējā piedāvātā cena par </w:t>
            </w:r>
            <w:r w:rsidR="0001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vienu apmācību ciklu</w:t>
            </w: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</w:tcPr>
          <w:p w14:paraId="22BD2500" w14:textId="77777777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3F" w14:paraId="331167D1" w14:textId="77777777" w:rsidTr="001F24D0">
        <w:trPr>
          <w:trHeight w:val="256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FEFDA3E" w14:textId="77777777" w:rsidR="00013C3F" w:rsidRDefault="00013C3F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452FD" w14:textId="7DA94960" w:rsidR="00013C3F" w:rsidRPr="00393B96" w:rsidRDefault="00013C3F" w:rsidP="00D25F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Kopējā līgumcena par 4 apmācību reizēm: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14:paraId="0840A548" w14:textId="77777777" w:rsidR="00013C3F" w:rsidRDefault="00013C3F" w:rsidP="00DA28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D0" w14:paraId="55565ED9" w14:textId="4D41478B" w:rsidTr="001F24D0">
        <w:trPr>
          <w:trHeight w:val="256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9E44735" w14:textId="77777777" w:rsidR="001F24D0" w:rsidRDefault="001F24D0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CA048" w14:textId="23E6C6DD" w:rsidR="001F24D0" w:rsidRPr="00393B96" w:rsidRDefault="001F24D0" w:rsidP="00D25F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 (ja attiecināms)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14:paraId="5C627177" w14:textId="77777777" w:rsidR="001F24D0" w:rsidRDefault="001F24D0" w:rsidP="00DA28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11079" w14:textId="1C66DFA1" w:rsidR="00D25F36" w:rsidRDefault="009C03A6" w:rsidP="00122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03A6">
        <w:rPr>
          <w:rFonts w:ascii="Times New Roman" w:hAnsi="Times New Roman" w:cs="Times New Roman"/>
          <w:i/>
          <w:iCs/>
          <w:sz w:val="24"/>
          <w:szCs w:val="24"/>
        </w:rPr>
        <w:t>Jānorāda cena par vienu apmācību ciklu.</w:t>
      </w:r>
    </w:p>
    <w:p w14:paraId="4B1B003D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Datums ____________________</w:t>
      </w:r>
    </w:p>
    <w:p w14:paraId="65E4FDC6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Pretendenta pilnvarotās personas amats ___________________________________</w:t>
      </w:r>
    </w:p>
    <w:p w14:paraId="5DCD7A01" w14:textId="1CE87810" w:rsidR="00F74905" w:rsidRPr="00122EC2" w:rsidRDefault="00122EC2" w:rsidP="00122EC2">
      <w:pPr>
        <w:rPr>
          <w:rFonts w:ascii="Times New Roman" w:hAnsi="Times New Roman" w:cs="Times New Roman"/>
        </w:rPr>
      </w:pPr>
      <w:r w:rsidRPr="00122EC2">
        <w:rPr>
          <w:rFonts w:ascii="Times New Roman" w:hAnsi="Times New Roman" w:cs="Times New Roman"/>
          <w:sz w:val="24"/>
          <w:szCs w:val="24"/>
        </w:rPr>
        <w:t>Pretendenta pilnvarotās personas paraksts un tā atšifrējums: ________________</w:t>
      </w:r>
      <w:r w:rsidRPr="00122EC2">
        <w:rPr>
          <w:rFonts w:ascii="Times New Roman" w:hAnsi="Times New Roman" w:cs="Times New Roman"/>
        </w:rPr>
        <w:t>___</w:t>
      </w:r>
    </w:p>
    <w:sectPr w:rsidR="00F74905" w:rsidRPr="0012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B6E"/>
    <w:multiLevelType w:val="hybridMultilevel"/>
    <w:tmpl w:val="6084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2"/>
    <w:rsid w:val="00013C3F"/>
    <w:rsid w:val="00122EC2"/>
    <w:rsid w:val="001F24D0"/>
    <w:rsid w:val="00393B96"/>
    <w:rsid w:val="006F2B78"/>
    <w:rsid w:val="009C03A6"/>
    <w:rsid w:val="00D25F36"/>
    <w:rsid w:val="00D6160F"/>
    <w:rsid w:val="00DA2818"/>
    <w:rsid w:val="00EC09DF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4FCD"/>
  <w15:chartTrackingRefBased/>
  <w15:docId w15:val="{21128DC0-C3A2-4CCB-86C1-35291E2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2,H&amp;P List Paragraph,Saistīto dokumentu saraksts,Bullet list,Colorful List - Accent 12,Normal bullet 2"/>
    <w:basedOn w:val="Normal"/>
    <w:link w:val="ListParagraphChar"/>
    <w:uiPriority w:val="34"/>
    <w:qFormat/>
    <w:rsid w:val="00D25F36"/>
    <w:pPr>
      <w:ind w:left="720"/>
      <w:contextualSpacing/>
    </w:pPr>
  </w:style>
  <w:style w:type="character" w:customStyle="1" w:styleId="ListParagraphChar">
    <w:name w:val="List Paragraph Char"/>
    <w:aliases w:val="Strip Char,2 Char,H&amp;P List Paragraph Char,Saistīto dokumentu saraksts Char,Bullet list Char,Colorful List - Accent 12 Char,Normal bullet 2 Char"/>
    <w:link w:val="ListParagraph"/>
    <w:uiPriority w:val="34"/>
    <w:locked/>
    <w:rsid w:val="00D25F3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9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DI-User3</dc:creator>
  <cp:keywords/>
  <dc:description/>
  <cp:lastModifiedBy>Anita Līce</cp:lastModifiedBy>
  <cp:revision>4</cp:revision>
  <cp:lastPrinted>2020-09-29T11:00:00Z</cp:lastPrinted>
  <dcterms:created xsi:type="dcterms:W3CDTF">2022-02-11T09:58:00Z</dcterms:created>
  <dcterms:modified xsi:type="dcterms:W3CDTF">2022-02-17T11:54:00Z</dcterms:modified>
</cp:coreProperties>
</file>